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B17AB8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0417DC">
              <w:rPr>
                <w:b/>
                <w:color w:val="auto"/>
                <w:lang w:val="it-IT"/>
              </w:rPr>
              <w:t>CU-TZ35</w:t>
            </w:r>
            <w:r w:rsidR="0067214F">
              <w:rPr>
                <w:b/>
                <w:color w:val="auto"/>
                <w:lang w:val="it-IT"/>
              </w:rPr>
              <w:t>TKE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385CD1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385CD1">
              <w:rPr>
                <w:color w:val="auto"/>
                <w:lang w:val="it-IT"/>
              </w:rPr>
              <w:t xml:space="preserve">valvole </w:t>
            </w:r>
            <w:proofErr w:type="spellStart"/>
            <w:r w:rsidRPr="00385CD1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3A4AA9" w:rsidRPr="00E31F70" w:rsidRDefault="003A4AA9" w:rsidP="005A4A32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417DC">
              <w:rPr>
                <w:color w:val="auto"/>
                <w:lang w:val="it-IT"/>
              </w:rPr>
              <w:t>3,5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417DC">
              <w:rPr>
                <w:color w:val="auto"/>
                <w:lang w:val="it-IT"/>
              </w:rPr>
              <w:t>1,00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lastRenderedPageBreak/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0417DC">
              <w:rPr>
                <w:color w:val="auto"/>
                <w:lang w:val="it-IT"/>
              </w:rPr>
              <w:t xml:space="preserve">                            6,2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EER </w:t>
            </w:r>
            <w:r w:rsidRPr="002C5DFC">
              <w:rPr>
                <w:color w:val="auto"/>
                <w:lang w:val="it-IT"/>
              </w:rPr>
              <w:tab/>
            </w:r>
            <w:r w:rsidR="000417DC">
              <w:rPr>
                <w:color w:val="auto"/>
                <w:lang w:val="it-IT"/>
              </w:rPr>
              <w:t>3,5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417DC">
              <w:rPr>
                <w:color w:val="auto"/>
                <w:lang w:val="it-IT"/>
              </w:rPr>
              <w:t>ampo libero, distanza di 1 m)</w:t>
            </w:r>
            <w:r w:rsidR="000417DC">
              <w:rPr>
                <w:color w:val="auto"/>
                <w:lang w:val="it-IT"/>
              </w:rPr>
              <w:tab/>
              <w:t>48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8E704E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</w:t>
            </w:r>
            <w:r w:rsidR="000417DC">
              <w:rPr>
                <w:color w:val="auto"/>
                <w:lang w:val="it-IT"/>
              </w:rPr>
              <w:t xml:space="preserve"> (max.)</w:t>
            </w:r>
            <w:r w:rsidR="000417DC">
              <w:rPr>
                <w:color w:val="auto"/>
                <w:lang w:val="it-IT"/>
              </w:rPr>
              <w:tab/>
              <w:t>1722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417DC">
              <w:rPr>
                <w:color w:val="auto"/>
                <w:lang w:val="it-IT"/>
              </w:rPr>
              <w:t>4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417DC">
              <w:rPr>
                <w:color w:val="auto"/>
                <w:lang w:val="it-IT"/>
              </w:rPr>
              <w:t>1,05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0417DC">
              <w:rPr>
                <w:color w:val="auto"/>
                <w:lang w:val="it-IT"/>
              </w:rPr>
              <w:t xml:space="preserve">    4,</w:t>
            </w:r>
            <w:r w:rsidR="000A00B3">
              <w:rPr>
                <w:color w:val="auto"/>
                <w:lang w:val="it-IT"/>
              </w:rPr>
              <w:t>2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2C5DFC">
              <w:rPr>
                <w:color w:val="auto"/>
                <w:lang w:val="it-IT"/>
              </w:rPr>
              <w:t xml:space="preserve">                             </w:t>
            </w:r>
            <w:r w:rsidR="000417DC">
              <w:rPr>
                <w:color w:val="auto"/>
                <w:lang w:val="it-IT"/>
              </w:rPr>
              <w:t>3,8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48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0417DC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1824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B17AB8">
              <w:rPr>
                <w:color w:val="auto"/>
                <w:lang w:val="it-IT"/>
              </w:rPr>
              <w:t xml:space="preserve">                            6,3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84071">
              <w:rPr>
                <w:color w:val="auto"/>
                <w:lang w:val="it-IT"/>
              </w:rPr>
              <w:t>0.7</w:t>
            </w:r>
            <w:r w:rsidR="000A00B3">
              <w:rPr>
                <w:color w:val="auto"/>
                <w:lang w:val="it-IT"/>
              </w:rPr>
              <w:t>70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1</w:t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8A153C">
              <w:rPr>
                <w:color w:val="auto"/>
                <w:lang w:val="it-IT"/>
              </w:rPr>
              <w:t xml:space="preserve">  </w:t>
            </w:r>
            <w:bookmarkStart w:id="0" w:name="_GoBack"/>
            <w:bookmarkEnd w:id="0"/>
            <w:r w:rsidR="008A153C">
              <w:rPr>
                <w:color w:val="auto"/>
                <w:lang w:val="it-IT"/>
              </w:rPr>
              <w:t xml:space="preserve">                             1</w:t>
            </w:r>
            <w:r w:rsidRPr="00E31F70">
              <w:rPr>
                <w:color w:val="auto"/>
                <w:lang w:val="it-IT"/>
              </w:rPr>
              <w:t xml:space="preserve">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542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780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289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84071">
              <w:rPr>
                <w:color w:val="auto"/>
                <w:lang w:val="it-IT"/>
              </w:rPr>
              <w:t>32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984071">
              <w:rPr>
                <w:b/>
                <w:color w:val="auto"/>
                <w:lang w:val="it-IT"/>
              </w:rPr>
              <w:t>Z3</w:t>
            </w:r>
            <w:r w:rsidR="00A538F9">
              <w:rPr>
                <w:b/>
                <w:color w:val="auto"/>
                <w:lang w:val="it-IT"/>
              </w:rPr>
              <w:t>5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32" w:rsidRDefault="005A4A32">
      <w:r>
        <w:separator/>
      </w:r>
    </w:p>
  </w:endnote>
  <w:endnote w:type="continuationSeparator" w:id="0">
    <w:p w:rsidR="005A4A32" w:rsidRDefault="005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46933">
      <w:fldChar w:fldCharType="begin"/>
    </w:r>
    <w:r w:rsidR="00946933">
      <w:instrText xml:space="preserve"> PAGE </w:instrText>
    </w:r>
    <w:r w:rsidR="00946933">
      <w:fldChar w:fldCharType="separate"/>
    </w:r>
    <w:r w:rsidR="00B17AB8">
      <w:rPr>
        <w:noProof/>
      </w:rPr>
      <w:t>2</w:t>
    </w:r>
    <w:r w:rsidR="00946933">
      <w:rPr>
        <w:noProof/>
      </w:rPr>
      <w:fldChar w:fldCharType="end"/>
    </w:r>
    <w:r>
      <w:t xml:space="preserve"> of </w:t>
    </w:r>
    <w:r w:rsidR="00946933">
      <w:fldChar w:fldCharType="begin"/>
    </w:r>
    <w:r w:rsidR="00946933">
      <w:instrText xml:space="preserve"> NUMPAGES </w:instrText>
    </w:r>
    <w:r w:rsidR="00946933">
      <w:fldChar w:fldCharType="separate"/>
    </w:r>
    <w:r w:rsidR="00B17AB8">
      <w:rPr>
        <w:noProof/>
      </w:rPr>
      <w:t>2</w:t>
    </w:r>
    <w:r w:rsidR="00946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32" w:rsidRDefault="005A4A32">
      <w:r>
        <w:separator/>
      </w:r>
    </w:p>
  </w:footnote>
  <w:footnote w:type="continuationSeparator" w:id="0">
    <w:p w:rsidR="005A4A32" w:rsidRDefault="005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4951C5">
    <w:pPr>
      <w:rPr>
        <w:sz w:val="2"/>
        <w:szCs w:val="2"/>
      </w:rPr>
    </w:pPr>
  </w:p>
  <w:p w:rsidR="005A4A32" w:rsidRDefault="005A4A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A36"/>
    <w:rsid w:val="000417DC"/>
    <w:rsid w:val="0005289F"/>
    <w:rsid w:val="00061667"/>
    <w:rsid w:val="000A00B3"/>
    <w:rsid w:val="000A0C71"/>
    <w:rsid w:val="000A49C2"/>
    <w:rsid w:val="000F5B63"/>
    <w:rsid w:val="000F6891"/>
    <w:rsid w:val="001B283D"/>
    <w:rsid w:val="001B50C4"/>
    <w:rsid w:val="001E1F74"/>
    <w:rsid w:val="001E2799"/>
    <w:rsid w:val="001E3AD0"/>
    <w:rsid w:val="001E519F"/>
    <w:rsid w:val="00207457"/>
    <w:rsid w:val="002202DF"/>
    <w:rsid w:val="00233C78"/>
    <w:rsid w:val="0023762F"/>
    <w:rsid w:val="00265CD3"/>
    <w:rsid w:val="002C5DFC"/>
    <w:rsid w:val="00316870"/>
    <w:rsid w:val="00335AF9"/>
    <w:rsid w:val="00340CB3"/>
    <w:rsid w:val="00385CD1"/>
    <w:rsid w:val="003A4AA9"/>
    <w:rsid w:val="004005C4"/>
    <w:rsid w:val="00415AE8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A4A32"/>
    <w:rsid w:val="005C3BFF"/>
    <w:rsid w:val="005C5C77"/>
    <w:rsid w:val="00603284"/>
    <w:rsid w:val="00645B86"/>
    <w:rsid w:val="0066710D"/>
    <w:rsid w:val="0067214F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244A"/>
    <w:rsid w:val="008C5593"/>
    <w:rsid w:val="008C7DCB"/>
    <w:rsid w:val="008E704E"/>
    <w:rsid w:val="0090157B"/>
    <w:rsid w:val="00926B67"/>
    <w:rsid w:val="00946933"/>
    <w:rsid w:val="009567E9"/>
    <w:rsid w:val="00962026"/>
    <w:rsid w:val="00984071"/>
    <w:rsid w:val="00986FF8"/>
    <w:rsid w:val="009979CC"/>
    <w:rsid w:val="009A4EE9"/>
    <w:rsid w:val="009C21F8"/>
    <w:rsid w:val="009E1CAE"/>
    <w:rsid w:val="009E3729"/>
    <w:rsid w:val="009E47FE"/>
    <w:rsid w:val="00A4261A"/>
    <w:rsid w:val="00A538F9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17AB8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4F56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757E3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7</cp:revision>
  <cp:lastPrinted>2011-11-14T18:56:00Z</cp:lastPrinted>
  <dcterms:created xsi:type="dcterms:W3CDTF">2016-10-12T12:52:00Z</dcterms:created>
  <dcterms:modified xsi:type="dcterms:W3CDTF">2017-05-04T09:57:00Z</dcterms:modified>
</cp:coreProperties>
</file>