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EE3040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E31F70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E31F70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E39CF">
              <w:rPr>
                <w:b/>
                <w:color w:val="auto"/>
                <w:lang w:val="it-IT"/>
              </w:rPr>
              <w:t>gas refrigerante 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5C3BFF">
              <w:rPr>
                <w:b/>
                <w:color w:val="auto"/>
                <w:lang w:val="it-IT"/>
              </w:rPr>
              <w:t>CU-</w:t>
            </w:r>
            <w:r w:rsidR="00837586">
              <w:rPr>
                <w:b/>
                <w:color w:val="auto"/>
                <w:lang w:val="it-IT"/>
              </w:rPr>
              <w:t>Z</w:t>
            </w:r>
            <w:r w:rsidR="005C3BFF">
              <w:rPr>
                <w:b/>
                <w:color w:val="auto"/>
                <w:lang w:val="it-IT"/>
              </w:rPr>
              <w:t>7</w:t>
            </w:r>
            <w:r w:rsidR="004E39CF">
              <w:rPr>
                <w:b/>
                <w:color w:val="auto"/>
                <w:lang w:val="it-IT"/>
              </w:rPr>
              <w:t>SKE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Pr="00E31F70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>legato ad un massimo di 1 unità interna Panasonic</w:t>
            </w:r>
            <w:r w:rsidR="00714D5F" w:rsidRPr="00E31F70">
              <w:rPr>
                <w:color w:val="auto"/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>ve</w:t>
            </w:r>
            <w:r w:rsidR="00C370B6">
              <w:rPr>
                <w:color w:val="auto"/>
                <w:lang w:val="it-IT"/>
              </w:rPr>
              <w:t>re di colore di tonalità chiara</w:t>
            </w:r>
            <w:r w:rsidRPr="00E31F70">
              <w:rPr>
                <w:color w:val="auto"/>
                <w:lang w:val="it-IT"/>
              </w:rPr>
              <w:t>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zione, progettata per uso interno ed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="004E39CF">
              <w:rPr>
                <w:color w:val="auto"/>
                <w:lang w:val="it-IT"/>
              </w:rPr>
              <w:t>refrigerante 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valvola di espansione elettronica, 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</w:t>
            </w:r>
            <w:r w:rsidRPr="00C370B6">
              <w:rPr>
                <w:color w:val="auto"/>
                <w:lang w:val="it-IT"/>
              </w:rPr>
              <w:t xml:space="preserve">valvole </w:t>
            </w:r>
            <w:proofErr w:type="spellStart"/>
            <w:r w:rsidRPr="00C370B6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  <w:r w:rsidR="009979CC">
              <w:rPr>
                <w:color w:val="auto"/>
                <w:lang w:val="it-IT"/>
              </w:rPr>
              <w:t xml:space="preserve"> 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C370B6">
              <w:rPr>
                <w:color w:val="auto"/>
                <w:lang w:val="it-IT"/>
              </w:rPr>
              <w:t xml:space="preserve">Un </w:t>
            </w:r>
            <w:r w:rsidR="001E519F" w:rsidRPr="00C370B6">
              <w:rPr>
                <w:color w:val="auto"/>
                <w:lang w:val="it-IT"/>
              </w:rPr>
              <w:t xml:space="preserve">compressore inverter a </w:t>
            </w:r>
            <w:r w:rsidRPr="00C370B6">
              <w:rPr>
                <w:color w:val="auto"/>
                <w:lang w:val="it-IT"/>
              </w:rPr>
              <w:t>2-</w:t>
            </w:r>
            <w:r w:rsidR="001E519F" w:rsidRPr="00C370B6">
              <w:rPr>
                <w:color w:val="auto"/>
                <w:lang w:val="it-IT"/>
              </w:rPr>
              <w:t>pistoni</w:t>
            </w:r>
            <w:r w:rsidRPr="00C370B6">
              <w:rPr>
                <w:color w:val="auto"/>
                <w:lang w:val="it-IT"/>
              </w:rPr>
              <w:t xml:space="preserve"> rotant</w:t>
            </w:r>
            <w:r w:rsidR="001E519F" w:rsidRPr="00C370B6">
              <w:rPr>
                <w:color w:val="auto"/>
                <w:lang w:val="it-IT"/>
              </w:rPr>
              <w:t>i</w:t>
            </w:r>
            <w:r w:rsidRPr="00C370B6">
              <w:rPr>
                <w:color w:val="auto"/>
                <w:lang w:val="it-IT"/>
              </w:rPr>
              <w:t xml:space="preserve"> DC, ottimizzati per il refrigerante R</w:t>
            </w:r>
            <w:r w:rsidR="008B244A" w:rsidRPr="00C370B6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</w:t>
            </w:r>
            <w:r w:rsidR="008B244A">
              <w:rPr>
                <w:color w:val="auto"/>
                <w:lang w:val="it-IT"/>
              </w:rPr>
              <w:t xml:space="preserve"> per l'uso con refrigerante 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8B244A">
              <w:rPr>
                <w:color w:val="auto"/>
                <w:lang w:val="it-IT"/>
              </w:rPr>
              <w:t>zata per l'uso con 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 xml:space="preserve">anche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Pr="00E31F70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E3040" w:rsidRPr="005E4C40" w:rsidRDefault="001B283D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Conformità alle Direttive e Norme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5E4C40" w:rsidRPr="005E4C40">
              <w:rPr>
                <w:color w:val="auto"/>
                <w:lang w:val="it-IT"/>
              </w:rPr>
              <w:t>L'unità è conforme alle seguenti</w:t>
            </w:r>
            <w:r w:rsidR="008B1EA2" w:rsidRPr="005E4C40">
              <w:rPr>
                <w:color w:val="auto"/>
                <w:lang w:val="it-IT"/>
              </w:rPr>
              <w:t xml:space="preserve"> direttiva</w:t>
            </w:r>
            <w:r w:rsidRPr="005E4C40">
              <w:rPr>
                <w:color w:val="auto"/>
                <w:lang w:val="it-IT"/>
              </w:rPr>
              <w:t xml:space="preserve"> e standard:</w:t>
            </w:r>
          </w:p>
          <w:p w:rsidR="00EE3040" w:rsidRPr="005E4C40" w:rsidRDefault="001B283D" w:rsidP="00623979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5E4C40">
              <w:rPr>
                <w:color w:val="auto"/>
                <w:lang w:val="it-IT"/>
              </w:rPr>
              <w:br/>
            </w:r>
            <w:r w:rsidR="00EE3040" w:rsidRPr="005E4C40">
              <w:rPr>
                <w:color w:val="auto"/>
                <w:lang w:val="it-IT"/>
              </w:rPr>
              <w:t>- Direttiva EMC 2014/30/EU</w:t>
            </w:r>
          </w:p>
          <w:p w:rsidR="005E4C40" w:rsidRPr="005E4C40" w:rsidRDefault="005E4C40" w:rsidP="005E4C40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5E4C40">
              <w:rPr>
                <w:color w:val="auto"/>
                <w:lang w:val="it-IT"/>
              </w:rPr>
              <w:t>Direttiva LVD 2014/35/EU</w:t>
            </w:r>
          </w:p>
          <w:p w:rsidR="005E4C40" w:rsidRPr="005E4C40" w:rsidRDefault="005E4C40" w:rsidP="005E4C40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5E4C40">
              <w:rPr>
                <w:color w:val="auto"/>
                <w:lang w:val="it-IT"/>
              </w:rPr>
              <w:t>Raccomandazione del Consiglio EMF 1999/519/EC</w:t>
            </w:r>
          </w:p>
          <w:p w:rsidR="005E4C40" w:rsidRPr="005E4C40" w:rsidRDefault="005E4C40" w:rsidP="005E4C40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5E4C40">
              <w:rPr>
                <w:color w:val="auto"/>
                <w:lang w:val="it-IT"/>
              </w:rPr>
              <w:t xml:space="preserve">Direttiva </w:t>
            </w:r>
            <w:proofErr w:type="spellStart"/>
            <w:r w:rsidRPr="005E4C40">
              <w:rPr>
                <w:color w:val="auto"/>
                <w:lang w:val="it-IT"/>
              </w:rPr>
              <w:t>RoHS</w:t>
            </w:r>
            <w:proofErr w:type="spellEnd"/>
            <w:r w:rsidRPr="005E4C40">
              <w:rPr>
                <w:color w:val="auto"/>
                <w:lang w:val="it-IT"/>
              </w:rPr>
              <w:t xml:space="preserve"> 2011/65/EU</w:t>
            </w:r>
          </w:p>
          <w:p w:rsidR="005E4C40" w:rsidRPr="005E4C40" w:rsidRDefault="005E4C40" w:rsidP="005E4C40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5E4C40">
              <w:rPr>
                <w:color w:val="auto"/>
                <w:lang w:val="it-IT"/>
              </w:rPr>
              <w:lastRenderedPageBreak/>
              <w:t>Regolamento (EU) No. 206/2012</w:t>
            </w:r>
          </w:p>
          <w:p w:rsidR="005E4C40" w:rsidRPr="005E4C40" w:rsidRDefault="005E4C40" w:rsidP="005E4C40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5E4C40">
              <w:rPr>
                <w:color w:val="auto"/>
                <w:lang w:val="it-IT"/>
              </w:rPr>
              <w:t xml:space="preserve">Direttiva </w:t>
            </w:r>
            <w:proofErr w:type="spellStart"/>
            <w:r w:rsidRPr="005E4C40">
              <w:rPr>
                <w:color w:val="auto"/>
                <w:lang w:val="it-IT"/>
              </w:rPr>
              <w:t>ErP</w:t>
            </w:r>
            <w:proofErr w:type="spellEnd"/>
            <w:r w:rsidRPr="005E4C40">
              <w:rPr>
                <w:color w:val="auto"/>
                <w:lang w:val="it-IT"/>
              </w:rPr>
              <w:t xml:space="preserve"> 2009/125/EC</w:t>
            </w:r>
          </w:p>
          <w:p w:rsidR="00EE3040" w:rsidRPr="005E4C40" w:rsidRDefault="005E4C40" w:rsidP="005E4C40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5E4C40">
              <w:rPr>
                <w:color w:val="auto"/>
                <w:lang w:val="it-IT"/>
              </w:rPr>
              <w:t>Direttiva PED 97/23/EC</w:t>
            </w:r>
          </w:p>
          <w:p w:rsidR="003A4AA9" w:rsidRDefault="003A4AA9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</w:p>
          <w:p w:rsidR="003A4AA9" w:rsidRPr="00E31F70" w:rsidRDefault="003A4AA9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1B283D" w:rsidRPr="00E31F70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raffreddamento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A4261A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Pr="00E31F70">
              <w:rPr>
                <w:color w:val="auto"/>
                <w:lang w:val="it-IT"/>
              </w:rPr>
              <w:t>:</w:t>
            </w:r>
            <w:r w:rsidR="00A4261A" w:rsidRPr="00E31F70">
              <w:rPr>
                <w:color w:val="auto"/>
                <w:lang w:val="it-IT"/>
              </w:rPr>
              <w:t xml:space="preserve">          </w:t>
            </w:r>
            <w:r w:rsidR="007329D9" w:rsidRPr="00E31F70">
              <w:rPr>
                <w:color w:val="auto"/>
                <w:lang w:val="it-IT"/>
              </w:rPr>
              <w:t xml:space="preserve"> </w:t>
            </w:r>
            <w:r w:rsidR="00A4261A" w:rsidRPr="00E31F70">
              <w:rPr>
                <w:color w:val="auto"/>
                <w:lang w:val="it-IT"/>
              </w:rPr>
              <w:t xml:space="preserve">  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A4261A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="00DD1FFF" w:rsidRPr="00E31F70">
              <w:rPr>
                <w:color w:val="auto"/>
                <w:lang w:val="it-IT"/>
              </w:rPr>
              <w:t>.</w:t>
            </w:r>
            <w:r w:rsidR="00A4261A" w:rsidRPr="00E31F70">
              <w:rPr>
                <w:color w:val="auto"/>
                <w:lang w:val="it-IT"/>
              </w:rPr>
              <w:t xml:space="preserve"> interna </w:t>
            </w:r>
            <w:r w:rsidR="00CA6248" w:rsidRPr="00E31F70">
              <w:rPr>
                <w:color w:val="auto"/>
                <w:lang w:val="it-IT"/>
              </w:rPr>
              <w:t>27/19 °C (DB/WB),</w:t>
            </w:r>
            <w:r w:rsidRPr="00E31F70">
              <w:rPr>
                <w:color w:val="auto"/>
                <w:lang w:val="it-IT"/>
              </w:rPr>
              <w:t xml:space="preserve"> </w:t>
            </w:r>
          </w:p>
          <w:p w:rsidR="009E1CAE" w:rsidRPr="00E31F70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1B283D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35</w:t>
            </w:r>
            <w:r w:rsidR="006C48D1">
              <w:rPr>
                <w:color w:val="auto"/>
                <w:lang w:val="it-IT"/>
              </w:rPr>
              <w:t>/24</w:t>
            </w:r>
            <w:r w:rsidR="00CA6248" w:rsidRPr="00E31F70">
              <w:rPr>
                <w:color w:val="auto"/>
                <w:lang w:val="it-IT"/>
              </w:rPr>
              <w:t xml:space="preserve"> °C </w:t>
            </w:r>
            <w:r w:rsidR="006C48D1">
              <w:rPr>
                <w:color w:val="auto"/>
                <w:lang w:val="it-IT"/>
              </w:rPr>
              <w:t xml:space="preserve"> (DB/WB)</w:t>
            </w:r>
          </w:p>
          <w:p w:rsidR="00D76CFC" w:rsidRPr="00E31F70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raffreddamento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3A4AA9">
              <w:rPr>
                <w:color w:val="auto"/>
                <w:lang w:val="it-IT"/>
              </w:rPr>
              <w:t>2.05</w:t>
            </w:r>
            <w:r w:rsidR="00CA6248" w:rsidRPr="00E31F70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3A4AA9">
              <w:rPr>
                <w:color w:val="auto"/>
                <w:lang w:val="it-IT"/>
              </w:rPr>
              <w:t>0.450</w:t>
            </w:r>
            <w:r w:rsidR="00CA6248" w:rsidRPr="00E31F70">
              <w:rPr>
                <w:color w:val="auto"/>
                <w:lang w:val="it-IT"/>
              </w:rPr>
              <w:tab/>
            </w:r>
            <w:proofErr w:type="spellStart"/>
            <w:r w:rsidR="00714D5F" w:rsidRPr="00E31F70">
              <w:rPr>
                <w:color w:val="auto"/>
                <w:lang w:val="it-IT"/>
              </w:rPr>
              <w:t>Kw</w:t>
            </w:r>
            <w:proofErr w:type="spellEnd"/>
          </w:p>
          <w:p w:rsidR="00714D5F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SEER                                                    </w:t>
            </w:r>
            <w:r w:rsidR="006C48D1">
              <w:rPr>
                <w:color w:val="auto"/>
                <w:lang w:val="it-IT"/>
              </w:rPr>
              <w:t xml:space="preserve"> </w:t>
            </w:r>
            <w:r w:rsidR="003A4AA9">
              <w:rPr>
                <w:color w:val="auto"/>
                <w:lang w:val="it-IT"/>
              </w:rPr>
              <w:t xml:space="preserve">                            7.5</w:t>
            </w:r>
          </w:p>
          <w:p w:rsidR="006C48D1" w:rsidRPr="00E31F70" w:rsidRDefault="00837586" w:rsidP="006C48D1">
            <w:pPr>
              <w:pStyle w:val="Ausschreibungsdaten"/>
              <w:tabs>
                <w:tab w:val="clear" w:pos="6406"/>
                <w:tab w:val="clear" w:pos="6520"/>
                <w:tab w:val="left" w:pos="6108"/>
              </w:tabs>
              <w:ind w:right="385"/>
              <w:rPr>
                <w:color w:val="auto"/>
                <w:lang w:val="it-IT"/>
              </w:rPr>
            </w:pPr>
            <w:r w:rsidRPr="008B1EA2">
              <w:rPr>
                <w:color w:val="auto"/>
                <w:lang w:val="it-IT"/>
              </w:rPr>
              <w:t xml:space="preserve">Coefficiente EER </w:t>
            </w:r>
            <w:r w:rsidRPr="008B1EA2">
              <w:rPr>
                <w:color w:val="auto"/>
                <w:lang w:val="it-IT"/>
              </w:rPr>
              <w:tab/>
            </w:r>
            <w:r w:rsidR="003A4AA9">
              <w:rPr>
                <w:color w:val="auto"/>
                <w:lang w:val="it-IT"/>
              </w:rPr>
              <w:t>4.56</w:t>
            </w:r>
          </w:p>
          <w:p w:rsidR="009E1CAE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6C48D1">
              <w:rPr>
                <w:color w:val="auto"/>
                <w:lang w:val="it-IT"/>
              </w:rPr>
              <w:t>–10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714D5F" w:rsidRPr="00E31F70">
              <w:rPr>
                <w:color w:val="auto"/>
                <w:lang w:val="it-IT"/>
              </w:rPr>
              <w:t xml:space="preserve"> +43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061667">
              <w:rPr>
                <w:color w:val="auto"/>
                <w:lang w:val="it-IT"/>
              </w:rPr>
              <w:t>ampo libero, distanza di 1 m)</w:t>
            </w:r>
            <w:r w:rsidR="00061667">
              <w:rPr>
                <w:color w:val="auto"/>
                <w:lang w:val="it-IT"/>
              </w:rPr>
              <w:tab/>
              <w:t>45</w:t>
            </w:r>
            <w:r w:rsidRPr="00E31F70">
              <w:rPr>
                <w:color w:val="auto"/>
                <w:lang w:val="it-IT"/>
              </w:rPr>
              <w:tab/>
            </w:r>
            <w:proofErr w:type="spellStart"/>
            <w:r w:rsidRPr="00E31F70">
              <w:rPr>
                <w:color w:val="auto"/>
                <w:lang w:val="it-IT"/>
              </w:rPr>
              <w:t>dB</w:t>
            </w:r>
            <w:proofErr w:type="spellEnd"/>
            <w:r w:rsidRPr="00E31F70">
              <w:rPr>
                <w:color w:val="auto"/>
                <w:lang w:val="it-IT"/>
              </w:rPr>
              <w:t>(A)</w:t>
            </w:r>
          </w:p>
          <w:p w:rsidR="005669CE" w:rsidRPr="00E31F70" w:rsidRDefault="00027A36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1614</w:t>
            </w:r>
            <w:r w:rsidR="005669CE" w:rsidRPr="00E31F70">
              <w:rPr>
                <w:color w:val="auto"/>
                <w:lang w:val="it-IT"/>
              </w:rPr>
              <w:tab/>
            </w:r>
            <w:proofErr w:type="spellStart"/>
            <w:r w:rsidR="005669CE" w:rsidRPr="00E31F70">
              <w:rPr>
                <w:color w:val="auto"/>
                <w:lang w:val="it-IT"/>
              </w:rPr>
              <w:t>m³</w:t>
            </w:r>
            <w:proofErr w:type="spellEnd"/>
            <w:r w:rsidR="005669CE" w:rsidRPr="00E31F70">
              <w:rPr>
                <w:color w:val="auto"/>
                <w:lang w:val="it-IT"/>
              </w:rPr>
              <w:t>/h</w:t>
            </w:r>
          </w:p>
          <w:p w:rsidR="002202DF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C17AAA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="00CA6248" w:rsidRPr="00E31F70">
              <w:rPr>
                <w:color w:val="auto"/>
                <w:lang w:val="it-IT"/>
              </w:rPr>
              <w:t>: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 xml:space="preserve">             </w:t>
            </w:r>
            <w:r w:rsidR="00C17AAA"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>. interna</w:t>
            </w:r>
            <w:r w:rsidR="00CA6248" w:rsidRPr="00E31F70">
              <w:rPr>
                <w:color w:val="auto"/>
                <w:lang w:val="it-IT"/>
              </w:rPr>
              <w:t xml:space="preserve"> 20 °</w:t>
            </w:r>
            <w:r w:rsidRPr="00E31F70">
              <w:rPr>
                <w:color w:val="auto"/>
                <w:lang w:val="it-IT"/>
              </w:rPr>
              <w:t xml:space="preserve">C (DB), </w:t>
            </w:r>
            <w:r w:rsidR="00C17AAA" w:rsidRPr="00E31F70">
              <w:rPr>
                <w:color w:val="auto"/>
                <w:lang w:val="it-IT"/>
              </w:rPr>
              <w:t xml:space="preserve">  </w:t>
            </w:r>
          </w:p>
          <w:p w:rsidR="00D76CFC" w:rsidRPr="00E31F70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2202DF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7/6 °C (DB/WB)</w:t>
            </w: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riscaldamento</w:t>
            </w:r>
            <w:r w:rsidR="00D5698F" w:rsidRPr="00E31F70">
              <w:rPr>
                <w:color w:val="auto"/>
                <w:lang w:val="it-IT"/>
              </w:rPr>
              <w:t xml:space="preserve">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27A36">
              <w:rPr>
                <w:color w:val="auto"/>
                <w:lang w:val="it-IT"/>
              </w:rPr>
              <w:t>2.8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2202D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27A36">
              <w:rPr>
                <w:color w:val="auto"/>
                <w:lang w:val="it-IT"/>
              </w:rPr>
              <w:t>0.620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5698F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SCOP                                                                             </w:t>
            </w:r>
            <w:r w:rsidR="00027A36">
              <w:rPr>
                <w:color w:val="auto"/>
                <w:lang w:val="it-IT"/>
              </w:rPr>
              <w:t xml:space="preserve">    4.7</w:t>
            </w:r>
          </w:p>
          <w:p w:rsidR="006C48D1" w:rsidRPr="00E31F70" w:rsidRDefault="006C48D1" w:rsidP="00D5698F">
            <w:pPr>
              <w:pStyle w:val="Ausschreibungsdaten"/>
              <w:rPr>
                <w:color w:val="auto"/>
                <w:lang w:val="it-IT"/>
              </w:rPr>
            </w:pPr>
            <w:r w:rsidRPr="008B1EA2">
              <w:rPr>
                <w:color w:val="auto"/>
                <w:lang w:val="it-IT"/>
              </w:rPr>
              <w:t xml:space="preserve">Coefficiente COP                                                      </w:t>
            </w:r>
            <w:r w:rsidR="00027A36" w:rsidRPr="008B1EA2">
              <w:rPr>
                <w:color w:val="auto"/>
                <w:lang w:val="it-IT"/>
              </w:rPr>
              <w:t xml:space="preserve">                             </w:t>
            </w:r>
            <w:r w:rsidR="00027A36">
              <w:rPr>
                <w:color w:val="auto"/>
                <w:lang w:val="it-IT"/>
              </w:rPr>
              <w:t>4.52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CA6248" w:rsidRPr="00E31F70">
              <w:rPr>
                <w:color w:val="auto"/>
                <w:lang w:val="it-IT"/>
              </w:rPr>
              <w:t>–</w:t>
            </w:r>
            <w:r w:rsidR="003A4AA9">
              <w:rPr>
                <w:color w:val="auto"/>
                <w:lang w:val="it-IT"/>
              </w:rPr>
              <w:t>15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CA6248" w:rsidRPr="00E31F70">
              <w:rPr>
                <w:color w:val="auto"/>
                <w:lang w:val="it-IT"/>
              </w:rPr>
              <w:t xml:space="preserve"> +24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0A49C2">
              <w:rPr>
                <w:color w:val="auto"/>
                <w:lang w:val="it-IT"/>
              </w:rPr>
              <w:t>ampo libero, distanza di 1 m)</w:t>
            </w:r>
            <w:r w:rsidR="000A49C2">
              <w:rPr>
                <w:color w:val="auto"/>
                <w:lang w:val="it-IT"/>
              </w:rPr>
              <w:tab/>
            </w:r>
            <w:r w:rsidR="00027A36">
              <w:rPr>
                <w:color w:val="auto"/>
                <w:lang w:val="it-IT"/>
              </w:rPr>
              <w:t>46</w:t>
            </w:r>
            <w:r w:rsidRPr="00E31F70">
              <w:rPr>
                <w:color w:val="auto"/>
                <w:lang w:val="it-IT"/>
              </w:rPr>
              <w:tab/>
            </w:r>
            <w:proofErr w:type="spellStart"/>
            <w:r w:rsidRPr="00E31F70">
              <w:rPr>
                <w:color w:val="auto"/>
                <w:lang w:val="it-IT"/>
              </w:rPr>
              <w:t>dB</w:t>
            </w:r>
            <w:proofErr w:type="spellEnd"/>
            <w:r w:rsidRPr="00E31F70">
              <w:rPr>
                <w:color w:val="auto"/>
                <w:lang w:val="it-IT"/>
              </w:rPr>
              <w:t>(A)</w:t>
            </w:r>
          </w:p>
          <w:p w:rsidR="005669CE" w:rsidRPr="00E31F70" w:rsidRDefault="00027A36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1614</w:t>
            </w:r>
            <w:r w:rsidR="005669CE" w:rsidRPr="00E31F70">
              <w:rPr>
                <w:color w:val="auto"/>
                <w:lang w:val="it-IT"/>
              </w:rPr>
              <w:tab/>
            </w:r>
            <w:proofErr w:type="spellStart"/>
            <w:r w:rsidR="005669CE" w:rsidRPr="00E31F70">
              <w:rPr>
                <w:color w:val="auto"/>
                <w:lang w:val="it-IT"/>
              </w:rPr>
              <w:t>m³</w:t>
            </w:r>
            <w:proofErr w:type="spellEnd"/>
            <w:r w:rsidR="005669CE" w:rsidRPr="00E31F70">
              <w:rPr>
                <w:color w:val="auto"/>
                <w:lang w:val="it-IT"/>
              </w:rPr>
              <w:t>/h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</w:t>
            </w:r>
            <w:r w:rsidR="008174A1" w:rsidRPr="00E31F70">
              <w:rPr>
                <w:color w:val="auto"/>
                <w:lang w:val="it-IT"/>
              </w:rPr>
              <w:t>limentazione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230</w:t>
            </w:r>
            <w:r w:rsidR="00CA6248" w:rsidRPr="00E31F70">
              <w:rPr>
                <w:color w:val="auto"/>
                <w:lang w:val="it-IT"/>
              </w:rPr>
              <w:tab/>
              <w:t>V</w:t>
            </w:r>
          </w:p>
          <w:p w:rsidR="00F55B50" w:rsidRPr="00E31F70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Corrente </w:t>
            </w:r>
            <w:r w:rsidR="00D5698F" w:rsidRPr="00E31F70">
              <w:rPr>
                <w:color w:val="auto"/>
                <w:lang w:val="it-IT"/>
              </w:rPr>
              <w:t xml:space="preserve">assorbita massima                                       </w:t>
            </w:r>
            <w:r w:rsidR="00027A36">
              <w:rPr>
                <w:color w:val="auto"/>
                <w:lang w:val="it-IT"/>
              </w:rPr>
              <w:t xml:space="preserve">                          4.40</w:t>
            </w:r>
            <w:r w:rsidR="00D5698F" w:rsidRPr="00E31F70">
              <w:rPr>
                <w:color w:val="auto"/>
                <w:lang w:val="it-IT"/>
              </w:rPr>
              <w:t xml:space="preserve">  </w:t>
            </w:r>
            <w:r w:rsidR="00CA6248" w:rsidRPr="00E31F70">
              <w:rPr>
                <w:color w:val="auto"/>
                <w:lang w:val="it-IT"/>
              </w:rPr>
              <w:t>A</w:t>
            </w:r>
          </w:p>
          <w:p w:rsidR="00D76CFC" w:rsidRPr="00E31F70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Refrigerant</w:t>
            </w:r>
            <w:r w:rsidR="008174A1" w:rsidRPr="00E31F70">
              <w:rPr>
                <w:color w:val="auto"/>
                <w:lang w:val="it-IT"/>
              </w:rPr>
              <w:t>e</w:t>
            </w:r>
            <w:r w:rsidR="000A49C2">
              <w:rPr>
                <w:color w:val="auto"/>
                <w:lang w:val="it-IT"/>
              </w:rPr>
              <w:tab/>
              <w:t>R32</w:t>
            </w:r>
          </w:p>
          <w:p w:rsidR="00D76CFC" w:rsidRPr="00E31F70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della carica di refrigerante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0.76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531D81" w:rsidRPr="00E31F70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Dislivello massimo</w:t>
            </w:r>
            <w:r w:rsidR="00531D81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1</w:t>
            </w:r>
            <w:r w:rsidR="005669CE" w:rsidRPr="00E31F70">
              <w:rPr>
                <w:color w:val="auto"/>
                <w:lang w:val="it-IT"/>
              </w:rPr>
              <w:t>5</w:t>
            </w:r>
            <w:r w:rsidR="00531D81" w:rsidRPr="00E31F70">
              <w:rPr>
                <w:color w:val="auto"/>
                <w:lang w:val="it-IT"/>
              </w:rPr>
              <w:tab/>
              <w:t>m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Distanza massima tra unità interna ed esterna</w:t>
            </w:r>
            <w:r w:rsidR="005669CE" w:rsidRPr="00E31F70">
              <w:rPr>
                <w:color w:val="auto"/>
                <w:lang w:val="it-IT"/>
              </w:rPr>
              <w:t>(min/</w:t>
            </w:r>
            <w:proofErr w:type="spellStart"/>
            <w:r w:rsidR="005669CE" w:rsidRPr="00E31F70">
              <w:rPr>
                <w:color w:val="auto"/>
                <w:lang w:val="it-IT"/>
              </w:rPr>
              <w:t>max</w:t>
            </w:r>
            <w:proofErr w:type="spellEnd"/>
            <w:r w:rsidR="005669CE" w:rsidRPr="00E31F70">
              <w:rPr>
                <w:color w:val="auto"/>
                <w:lang w:val="it-IT"/>
              </w:rPr>
              <w:t>)</w:t>
            </w:r>
            <w:r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3-15</w:t>
            </w:r>
            <w:r w:rsidRPr="00E31F70">
              <w:rPr>
                <w:color w:val="auto"/>
                <w:lang w:val="it-IT"/>
              </w:rPr>
              <w:tab/>
              <w:t>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Quantità refrigerante aggiuntiva                              </w:t>
            </w:r>
            <w:r w:rsidR="008A153C">
              <w:rPr>
                <w:color w:val="auto"/>
                <w:lang w:val="it-IT"/>
              </w:rPr>
              <w:t xml:space="preserve">                               1</w:t>
            </w:r>
            <w:r w:rsidRPr="00E31F70">
              <w:rPr>
                <w:color w:val="auto"/>
                <w:lang w:val="it-IT"/>
              </w:rPr>
              <w:t xml:space="preserve">0 g/m       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Numero massimo di unità interne collegate</w:t>
            </w:r>
            <w:r w:rsidR="00D43E11" w:rsidRPr="00E31F70">
              <w:rPr>
                <w:color w:val="auto"/>
                <w:lang w:val="it-IT"/>
              </w:rPr>
              <w:tab/>
              <w:t>1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E31F70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Dimensioni</w:t>
            </w:r>
            <w:r w:rsidR="00CA6248" w:rsidRPr="00E31F70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Altezza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542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Larghezza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780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Profondità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289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netto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30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E31F70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8A153C">
              <w:rPr>
                <w:b/>
                <w:color w:val="auto"/>
                <w:lang w:val="it-IT"/>
              </w:rPr>
              <w:t>CU-Z7SKE</w:t>
            </w:r>
          </w:p>
          <w:p w:rsidR="00AB1D73" w:rsidRPr="00E31F7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7"/>
      <w:footerReference w:type="default" r:id="rId8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A2" w:rsidRDefault="008B1EA2">
      <w:r>
        <w:separator/>
      </w:r>
    </w:p>
  </w:endnote>
  <w:endnote w:type="continuationSeparator" w:id="0">
    <w:p w:rsidR="008B1EA2" w:rsidRDefault="008B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A2" w:rsidRDefault="008B1EA2" w:rsidP="00FA3278">
    <w:pPr>
      <w:pStyle w:val="Pidipagina"/>
    </w:pPr>
    <w:r>
      <w:rPr>
        <w:noProof/>
        <w:position w:val="-6"/>
        <w:lang w:val="it-IT" w:eastAsia="it-IT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fldSimple w:instr=" PAGE ">
      <w:r w:rsidR="00C370B6">
        <w:rPr>
          <w:noProof/>
        </w:rPr>
        <w:t>2</w:t>
      </w:r>
    </w:fldSimple>
    <w:r>
      <w:t xml:space="preserve"> of </w:t>
    </w:r>
    <w:fldSimple w:instr=" NUMPAGES ">
      <w:r w:rsidR="00C370B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A2" w:rsidRDefault="008B1EA2">
      <w:r>
        <w:separator/>
      </w:r>
    </w:p>
  </w:footnote>
  <w:footnote w:type="continuationSeparator" w:id="0">
    <w:p w:rsidR="008B1EA2" w:rsidRDefault="008B1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A2" w:rsidRDefault="008B1EA2" w:rsidP="004951C5">
    <w:pPr>
      <w:rPr>
        <w:sz w:val="2"/>
        <w:szCs w:val="2"/>
      </w:rPr>
    </w:pPr>
  </w:p>
  <w:p w:rsidR="008B1EA2" w:rsidRDefault="008B1EA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02A0"/>
    <w:rsid w:val="000138B2"/>
    <w:rsid w:val="00027A36"/>
    <w:rsid w:val="0005289F"/>
    <w:rsid w:val="00061667"/>
    <w:rsid w:val="000A0C71"/>
    <w:rsid w:val="000A49C2"/>
    <w:rsid w:val="000F6891"/>
    <w:rsid w:val="0011718E"/>
    <w:rsid w:val="001B283D"/>
    <w:rsid w:val="001B50C4"/>
    <w:rsid w:val="001E1F74"/>
    <w:rsid w:val="001E2799"/>
    <w:rsid w:val="001E3AD0"/>
    <w:rsid w:val="001E519F"/>
    <w:rsid w:val="00207457"/>
    <w:rsid w:val="002202DF"/>
    <w:rsid w:val="00233C78"/>
    <w:rsid w:val="0023762F"/>
    <w:rsid w:val="00316870"/>
    <w:rsid w:val="00335AF9"/>
    <w:rsid w:val="00340CB3"/>
    <w:rsid w:val="003A4AA9"/>
    <w:rsid w:val="004005C4"/>
    <w:rsid w:val="00415AE8"/>
    <w:rsid w:val="004469FB"/>
    <w:rsid w:val="00464D6B"/>
    <w:rsid w:val="004951C5"/>
    <w:rsid w:val="004B5AFF"/>
    <w:rsid w:val="004E39CF"/>
    <w:rsid w:val="00531D81"/>
    <w:rsid w:val="0055208C"/>
    <w:rsid w:val="005669CE"/>
    <w:rsid w:val="00585E5D"/>
    <w:rsid w:val="005C3BFF"/>
    <w:rsid w:val="005C5C77"/>
    <w:rsid w:val="005E4C40"/>
    <w:rsid w:val="00603284"/>
    <w:rsid w:val="00623979"/>
    <w:rsid w:val="00645B86"/>
    <w:rsid w:val="0066710D"/>
    <w:rsid w:val="006C48D1"/>
    <w:rsid w:val="006E1C30"/>
    <w:rsid w:val="00714D5F"/>
    <w:rsid w:val="007329D9"/>
    <w:rsid w:val="0074289C"/>
    <w:rsid w:val="007654E4"/>
    <w:rsid w:val="00783117"/>
    <w:rsid w:val="007A6192"/>
    <w:rsid w:val="007E02A0"/>
    <w:rsid w:val="007F5922"/>
    <w:rsid w:val="008174A1"/>
    <w:rsid w:val="00837586"/>
    <w:rsid w:val="0088058A"/>
    <w:rsid w:val="008A153C"/>
    <w:rsid w:val="008B1EA2"/>
    <w:rsid w:val="008B244A"/>
    <w:rsid w:val="008C5593"/>
    <w:rsid w:val="008C7DCB"/>
    <w:rsid w:val="0090157B"/>
    <w:rsid w:val="0092192B"/>
    <w:rsid w:val="00926B67"/>
    <w:rsid w:val="009567E9"/>
    <w:rsid w:val="00962026"/>
    <w:rsid w:val="00986FF8"/>
    <w:rsid w:val="009979CC"/>
    <w:rsid w:val="009A4EE9"/>
    <w:rsid w:val="009C21F8"/>
    <w:rsid w:val="009E1CAE"/>
    <w:rsid w:val="009E3729"/>
    <w:rsid w:val="009E47FE"/>
    <w:rsid w:val="00A340F9"/>
    <w:rsid w:val="00A4261A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E747D"/>
    <w:rsid w:val="00C17AAA"/>
    <w:rsid w:val="00C3535B"/>
    <w:rsid w:val="00C370B6"/>
    <w:rsid w:val="00C923A4"/>
    <w:rsid w:val="00CA5370"/>
    <w:rsid w:val="00CA6248"/>
    <w:rsid w:val="00CC39F8"/>
    <w:rsid w:val="00D14372"/>
    <w:rsid w:val="00D3562C"/>
    <w:rsid w:val="00D43E11"/>
    <w:rsid w:val="00D5698F"/>
    <w:rsid w:val="00D76CFC"/>
    <w:rsid w:val="00D85AC4"/>
    <w:rsid w:val="00DC3094"/>
    <w:rsid w:val="00DD1FFF"/>
    <w:rsid w:val="00E31F70"/>
    <w:rsid w:val="00E330B1"/>
    <w:rsid w:val="00E44394"/>
    <w:rsid w:val="00E879E0"/>
    <w:rsid w:val="00ED303D"/>
    <w:rsid w:val="00EE3040"/>
    <w:rsid w:val="00EF7190"/>
    <w:rsid w:val="00F068F9"/>
    <w:rsid w:val="00F13BE8"/>
    <w:rsid w:val="00F243E3"/>
    <w:rsid w:val="00F55B50"/>
    <w:rsid w:val="00F83B33"/>
    <w:rsid w:val="00FA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b/>
      <w:bCs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571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70h0463</cp:lastModifiedBy>
  <cp:revision>7</cp:revision>
  <cp:lastPrinted>2011-11-14T18:56:00Z</cp:lastPrinted>
  <dcterms:created xsi:type="dcterms:W3CDTF">2016-10-12T12:24:00Z</dcterms:created>
  <dcterms:modified xsi:type="dcterms:W3CDTF">2016-10-14T15:34:00Z</dcterms:modified>
</cp:coreProperties>
</file>